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E2809" w14:textId="2858459B" w:rsidR="009824FF" w:rsidRDefault="009824FF" w:rsidP="009824FF">
      <w:pPr>
        <w:pStyle w:val="Prrafodelista"/>
        <w:widowControl w:val="0"/>
        <w:autoSpaceDE w:val="0"/>
        <w:autoSpaceDN w:val="0"/>
        <w:adjustRightInd w:val="0"/>
        <w:ind w:left="426" w:right="-74"/>
        <w:jc w:val="center"/>
        <w:rPr>
          <w:rFonts w:asciiTheme="majorHAnsi" w:hAnsiTheme="majorHAnsi" w:cstheme="majorHAnsi"/>
          <w:b/>
          <w:sz w:val="22"/>
          <w:szCs w:val="22"/>
          <w:lang w:val="es-CO"/>
        </w:rPr>
      </w:pPr>
      <w:bookmarkStart w:id="0" w:name="_Hlk48833051"/>
      <w:r w:rsidRPr="009824FF">
        <w:rPr>
          <w:rFonts w:asciiTheme="majorHAnsi" w:hAnsiTheme="majorHAnsi" w:cstheme="majorHAnsi"/>
          <w:b/>
          <w:sz w:val="22"/>
          <w:szCs w:val="22"/>
          <w:lang w:val="es-CO"/>
        </w:rPr>
        <w:t>Anexo 21. Fraude y Corrupción</w:t>
      </w:r>
    </w:p>
    <w:p w14:paraId="24DAFAB0" w14:textId="77777777" w:rsidR="009824FF" w:rsidRDefault="009824FF" w:rsidP="009824FF">
      <w:pPr>
        <w:pStyle w:val="Prrafodelista"/>
        <w:widowControl w:val="0"/>
        <w:autoSpaceDE w:val="0"/>
        <w:autoSpaceDN w:val="0"/>
        <w:adjustRightInd w:val="0"/>
        <w:ind w:left="426" w:right="-74"/>
        <w:jc w:val="center"/>
        <w:rPr>
          <w:rFonts w:asciiTheme="majorHAnsi" w:hAnsiTheme="majorHAnsi" w:cstheme="majorHAnsi"/>
          <w:b/>
          <w:sz w:val="22"/>
          <w:szCs w:val="22"/>
          <w:lang w:val="es-CO"/>
        </w:rPr>
      </w:pPr>
    </w:p>
    <w:p w14:paraId="12F2FF3A" w14:textId="77777777" w:rsidR="00B52C89" w:rsidRPr="00B52C89" w:rsidRDefault="00B52C89" w:rsidP="00B52C89">
      <w:pPr>
        <w:pStyle w:val="Prrafodelista"/>
        <w:widowControl w:val="0"/>
        <w:numPr>
          <w:ilvl w:val="0"/>
          <w:numId w:val="7"/>
        </w:numPr>
        <w:autoSpaceDE w:val="0"/>
        <w:autoSpaceDN w:val="0"/>
        <w:adjustRightInd w:val="0"/>
        <w:ind w:left="426" w:right="-74" w:hanging="426"/>
        <w:jc w:val="both"/>
        <w:rPr>
          <w:rFonts w:asciiTheme="majorHAnsi" w:hAnsiTheme="majorHAnsi" w:cstheme="majorHAnsi"/>
          <w:b/>
          <w:sz w:val="22"/>
          <w:szCs w:val="22"/>
          <w:lang w:val="es-CO"/>
        </w:rPr>
      </w:pPr>
      <w:r w:rsidRPr="00B52C89">
        <w:rPr>
          <w:rFonts w:asciiTheme="majorHAnsi" w:hAnsiTheme="majorHAnsi" w:cstheme="majorHAnsi"/>
          <w:b/>
          <w:sz w:val="22"/>
          <w:szCs w:val="22"/>
          <w:lang w:val="es-CO"/>
        </w:rPr>
        <w:t>Propósito</w:t>
      </w:r>
    </w:p>
    <w:p w14:paraId="0F361C87" w14:textId="77777777" w:rsidR="00B52C89" w:rsidRPr="00B52C89" w:rsidRDefault="00B52C89" w:rsidP="00B52C89">
      <w:pPr>
        <w:widowControl w:val="0"/>
        <w:numPr>
          <w:ilvl w:val="1"/>
          <w:numId w:val="7"/>
        </w:numPr>
        <w:autoSpaceDE w:val="0"/>
        <w:autoSpaceDN w:val="0"/>
        <w:adjustRightInd w:val="0"/>
        <w:ind w:right="-74"/>
        <w:jc w:val="both"/>
        <w:rPr>
          <w:rFonts w:asciiTheme="majorHAnsi" w:hAnsiTheme="majorHAnsi" w:cstheme="majorHAnsi"/>
          <w:sz w:val="22"/>
          <w:szCs w:val="22"/>
          <w:lang w:val="es-CO"/>
        </w:rPr>
      </w:pPr>
      <w:r w:rsidRPr="00B52C89">
        <w:rPr>
          <w:rFonts w:asciiTheme="majorHAnsi" w:hAnsiTheme="majorHAnsi" w:cstheme="majorHAnsi"/>
          <w:sz w:val="22"/>
          <w:szCs w:val="22"/>
          <w:lang w:val="es-CO"/>
        </w:rPr>
        <w:t>Las Directrices Contra la Corrupción del Banco y este anexo se aplican a las adquisiciones realizadas en el marco de las operaciones de financiamiento para proyectos de inversión de dicho organismo.</w:t>
      </w:r>
    </w:p>
    <w:p w14:paraId="254AA72F" w14:textId="77777777" w:rsidR="00B52C89" w:rsidRPr="00B52C89" w:rsidRDefault="00B52C89" w:rsidP="00B52C89">
      <w:pPr>
        <w:widowControl w:val="0"/>
        <w:numPr>
          <w:ilvl w:val="0"/>
          <w:numId w:val="7"/>
        </w:numPr>
        <w:autoSpaceDE w:val="0"/>
        <w:autoSpaceDN w:val="0"/>
        <w:adjustRightInd w:val="0"/>
        <w:ind w:left="426" w:right="-74" w:hanging="426"/>
        <w:jc w:val="both"/>
        <w:rPr>
          <w:rFonts w:asciiTheme="majorHAnsi" w:hAnsiTheme="majorHAnsi" w:cstheme="majorHAnsi"/>
          <w:b/>
          <w:sz w:val="22"/>
          <w:szCs w:val="22"/>
          <w:lang w:val="es-CO"/>
        </w:rPr>
      </w:pPr>
      <w:r w:rsidRPr="00B52C89">
        <w:rPr>
          <w:rFonts w:asciiTheme="majorHAnsi" w:hAnsiTheme="majorHAnsi" w:cstheme="majorHAnsi"/>
          <w:b/>
          <w:sz w:val="22"/>
          <w:szCs w:val="22"/>
          <w:lang w:val="es-CO"/>
        </w:rPr>
        <w:t>Requisitos</w:t>
      </w:r>
    </w:p>
    <w:p w14:paraId="3BFC7A1C" w14:textId="77777777" w:rsidR="00B52C89" w:rsidRPr="00B52C89" w:rsidRDefault="00B52C89" w:rsidP="00B52C89">
      <w:pPr>
        <w:pStyle w:val="Prrafodelista"/>
        <w:widowControl w:val="0"/>
        <w:numPr>
          <w:ilvl w:val="1"/>
          <w:numId w:val="7"/>
        </w:numPr>
        <w:autoSpaceDE w:val="0"/>
        <w:autoSpaceDN w:val="0"/>
        <w:adjustRightInd w:val="0"/>
        <w:ind w:right="-74"/>
        <w:jc w:val="both"/>
        <w:rPr>
          <w:rFonts w:asciiTheme="majorHAnsi" w:hAnsiTheme="majorHAnsi" w:cstheme="majorHAnsi"/>
          <w:sz w:val="22"/>
          <w:szCs w:val="22"/>
          <w:lang w:val="es-CO"/>
        </w:rPr>
      </w:pPr>
      <w:r w:rsidRPr="00B52C89">
        <w:rPr>
          <w:rFonts w:asciiTheme="majorHAnsi" w:hAnsiTheme="majorHAnsi" w:cstheme="majorHAnsi"/>
          <w:sz w:val="22"/>
          <w:szCs w:val="22"/>
          <w:lang w:val="es-CO"/>
        </w:rPr>
        <w:t>El Banco exige que los prestatarios (incluidos los beneficiarios del financiamiento que otorga); licitantes (proponentes / postulantes), consultores, contratistas y proveedores; subcontratistas, subconsultores, prestadores de servicios o proveedores, y agentes (declarados o no), así como los miembros de su personal, observen los más altos niveles éticos durante el proceso de adquisición, selección y ejecución de los contratos que financie, y se abstengan de cometer actos de fraude y corrupción.</w:t>
      </w:r>
    </w:p>
    <w:p w14:paraId="5FE55B50" w14:textId="77777777" w:rsidR="00B52C89" w:rsidRPr="00B52C89" w:rsidRDefault="00B52C89" w:rsidP="00B52C89">
      <w:pPr>
        <w:pStyle w:val="Prrafodelista"/>
        <w:widowControl w:val="0"/>
        <w:numPr>
          <w:ilvl w:val="1"/>
          <w:numId w:val="7"/>
        </w:numPr>
        <w:autoSpaceDE w:val="0"/>
        <w:autoSpaceDN w:val="0"/>
        <w:adjustRightInd w:val="0"/>
        <w:ind w:right="-74"/>
        <w:jc w:val="both"/>
        <w:rPr>
          <w:rFonts w:asciiTheme="majorHAnsi" w:hAnsiTheme="majorHAnsi" w:cstheme="majorHAnsi"/>
          <w:sz w:val="22"/>
          <w:szCs w:val="22"/>
          <w:lang w:val="es-CO"/>
        </w:rPr>
      </w:pPr>
      <w:r w:rsidRPr="00B52C89">
        <w:rPr>
          <w:rFonts w:asciiTheme="majorHAnsi" w:hAnsiTheme="majorHAnsi" w:cstheme="majorHAnsi"/>
          <w:sz w:val="22"/>
          <w:szCs w:val="22"/>
          <w:lang w:val="es-CO"/>
        </w:rPr>
        <w:t>A tal fin, el Banco:</w:t>
      </w:r>
    </w:p>
    <w:p w14:paraId="7CECEF6A" w14:textId="77777777" w:rsidR="00B52C89" w:rsidRPr="00B52C89" w:rsidRDefault="00B52C89" w:rsidP="00B52C89">
      <w:pPr>
        <w:pStyle w:val="Prrafodelista"/>
        <w:widowControl w:val="0"/>
        <w:numPr>
          <w:ilvl w:val="0"/>
          <w:numId w:val="8"/>
        </w:numPr>
        <w:autoSpaceDE w:val="0"/>
        <w:autoSpaceDN w:val="0"/>
        <w:adjustRightInd w:val="0"/>
        <w:ind w:left="1134" w:right="-74"/>
        <w:jc w:val="both"/>
        <w:rPr>
          <w:rFonts w:asciiTheme="majorHAnsi" w:hAnsiTheme="majorHAnsi" w:cstheme="majorHAnsi"/>
          <w:sz w:val="22"/>
          <w:szCs w:val="22"/>
          <w:lang w:val="es-CO"/>
        </w:rPr>
      </w:pPr>
      <w:r w:rsidRPr="00B52C89">
        <w:rPr>
          <w:rFonts w:asciiTheme="majorHAnsi" w:hAnsiTheme="majorHAnsi" w:cstheme="majorHAnsi"/>
          <w:sz w:val="22"/>
          <w:szCs w:val="22"/>
          <w:lang w:val="es-CO"/>
        </w:rPr>
        <w:t>Define de la siguiente manera, a los efectos de esta disposición, las expresiones que se indican a continuación:</w:t>
      </w:r>
    </w:p>
    <w:p w14:paraId="28A9B02B" w14:textId="77777777" w:rsidR="00B52C89" w:rsidRPr="00B52C89" w:rsidRDefault="00B52C89" w:rsidP="00B52C89">
      <w:pPr>
        <w:pStyle w:val="Prrafodelista"/>
        <w:widowControl w:val="0"/>
        <w:numPr>
          <w:ilvl w:val="1"/>
          <w:numId w:val="6"/>
        </w:numPr>
        <w:autoSpaceDE w:val="0"/>
        <w:autoSpaceDN w:val="0"/>
        <w:adjustRightInd w:val="0"/>
        <w:ind w:right="-74"/>
        <w:jc w:val="both"/>
        <w:rPr>
          <w:rFonts w:asciiTheme="majorHAnsi" w:hAnsiTheme="majorHAnsi" w:cstheme="majorHAnsi"/>
          <w:sz w:val="22"/>
          <w:szCs w:val="22"/>
          <w:lang w:val="es-CO"/>
        </w:rPr>
      </w:pPr>
      <w:r w:rsidRPr="00B52C89">
        <w:rPr>
          <w:rFonts w:asciiTheme="majorHAnsi" w:hAnsiTheme="majorHAnsi" w:cstheme="majorHAnsi"/>
          <w:sz w:val="22"/>
          <w:szCs w:val="22"/>
          <w:lang w:val="es-CO"/>
        </w:rPr>
        <w:t>por “práctica corrupta” se entiende el ofrecimiento, entrega, aceptación o solicitud directa o indirecta de cualquier cosa de valor con el fin de influir indebidamente en el accionar de otra parte;</w:t>
      </w:r>
    </w:p>
    <w:p w14:paraId="10D82270" w14:textId="77777777" w:rsidR="00B52C89" w:rsidRPr="00B52C89" w:rsidRDefault="00B52C89" w:rsidP="00B52C89">
      <w:pPr>
        <w:pStyle w:val="Prrafodelista"/>
        <w:widowControl w:val="0"/>
        <w:numPr>
          <w:ilvl w:val="1"/>
          <w:numId w:val="6"/>
        </w:numPr>
        <w:autoSpaceDE w:val="0"/>
        <w:autoSpaceDN w:val="0"/>
        <w:adjustRightInd w:val="0"/>
        <w:ind w:right="-74"/>
        <w:jc w:val="both"/>
        <w:rPr>
          <w:rFonts w:asciiTheme="majorHAnsi" w:hAnsiTheme="majorHAnsi" w:cstheme="majorHAnsi"/>
          <w:sz w:val="22"/>
          <w:szCs w:val="22"/>
          <w:lang w:val="es-CO"/>
        </w:rPr>
      </w:pPr>
      <w:r w:rsidRPr="00B52C89">
        <w:rPr>
          <w:rFonts w:asciiTheme="majorHAnsi" w:hAnsiTheme="majorHAnsi" w:cstheme="majorHAnsi"/>
          <w:sz w:val="22"/>
          <w:szCs w:val="22"/>
          <w:lang w:val="es-CO"/>
        </w:rPr>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14:paraId="4EADDABC" w14:textId="77777777" w:rsidR="00B52C89" w:rsidRPr="00B52C89" w:rsidRDefault="00B52C89" w:rsidP="00B52C89">
      <w:pPr>
        <w:pStyle w:val="Prrafodelista"/>
        <w:widowControl w:val="0"/>
        <w:numPr>
          <w:ilvl w:val="1"/>
          <w:numId w:val="6"/>
        </w:numPr>
        <w:autoSpaceDE w:val="0"/>
        <w:autoSpaceDN w:val="0"/>
        <w:adjustRightInd w:val="0"/>
        <w:ind w:right="-74"/>
        <w:jc w:val="both"/>
        <w:rPr>
          <w:rFonts w:asciiTheme="majorHAnsi" w:hAnsiTheme="majorHAnsi" w:cstheme="majorHAnsi"/>
          <w:sz w:val="22"/>
          <w:szCs w:val="22"/>
          <w:lang w:val="es-CO"/>
        </w:rPr>
      </w:pPr>
      <w:r w:rsidRPr="00B52C89">
        <w:rPr>
          <w:rFonts w:asciiTheme="majorHAnsi" w:hAnsiTheme="majorHAnsi" w:cstheme="majorHAnsi"/>
          <w:sz w:val="22"/>
          <w:szCs w:val="22"/>
          <w:lang w:val="es-CO"/>
        </w:rPr>
        <w:t>por “práctica colusoria” se entiende todo arreglo entre dos o más partes realizado con la intención de alcanzar un propósito ilícito, como el de influir de forma indebida en el accionar de otra parte;</w:t>
      </w:r>
    </w:p>
    <w:p w14:paraId="7EAD330A" w14:textId="77777777" w:rsidR="00B52C89" w:rsidRPr="00B52C89" w:rsidRDefault="00B52C89" w:rsidP="00B52C89">
      <w:pPr>
        <w:pStyle w:val="Prrafodelista"/>
        <w:widowControl w:val="0"/>
        <w:numPr>
          <w:ilvl w:val="1"/>
          <w:numId w:val="6"/>
        </w:numPr>
        <w:autoSpaceDE w:val="0"/>
        <w:autoSpaceDN w:val="0"/>
        <w:adjustRightInd w:val="0"/>
        <w:ind w:right="-74"/>
        <w:jc w:val="both"/>
        <w:rPr>
          <w:rFonts w:asciiTheme="majorHAnsi" w:hAnsiTheme="majorHAnsi" w:cstheme="majorHAnsi"/>
          <w:sz w:val="22"/>
          <w:szCs w:val="22"/>
          <w:lang w:val="es-CO"/>
        </w:rPr>
      </w:pPr>
      <w:r w:rsidRPr="00B52C89">
        <w:rPr>
          <w:rFonts w:asciiTheme="majorHAnsi" w:hAnsiTheme="majorHAnsi" w:cstheme="majorHAnsi"/>
          <w:sz w:val="22"/>
          <w:szCs w:val="22"/>
          <w:lang w:val="es-CO"/>
        </w:rPr>
        <w:t>por “práctica coercitiva” se entiende el perjuicio o daño o la amenaza de causar perjuicio o daño directa o indirectamente a cualquiera de las partes o a sus bienes para influir de forma indebida en su accionar;</w:t>
      </w:r>
    </w:p>
    <w:p w14:paraId="558BF12E" w14:textId="77777777" w:rsidR="00B52C89" w:rsidRPr="00B52C89" w:rsidRDefault="00B52C89" w:rsidP="00B52C89">
      <w:pPr>
        <w:pStyle w:val="Prrafodelista"/>
        <w:widowControl w:val="0"/>
        <w:numPr>
          <w:ilvl w:val="1"/>
          <w:numId w:val="6"/>
        </w:numPr>
        <w:autoSpaceDE w:val="0"/>
        <w:autoSpaceDN w:val="0"/>
        <w:adjustRightInd w:val="0"/>
        <w:ind w:right="-74"/>
        <w:jc w:val="both"/>
        <w:rPr>
          <w:rFonts w:asciiTheme="majorHAnsi" w:hAnsiTheme="majorHAnsi" w:cstheme="majorHAnsi"/>
          <w:sz w:val="22"/>
          <w:szCs w:val="22"/>
          <w:lang w:val="es-CO"/>
        </w:rPr>
      </w:pPr>
      <w:r w:rsidRPr="00B52C89">
        <w:rPr>
          <w:rFonts w:asciiTheme="majorHAnsi" w:hAnsiTheme="majorHAnsi" w:cstheme="majorHAnsi"/>
          <w:sz w:val="22"/>
          <w:szCs w:val="22"/>
          <w:lang w:val="es-CO"/>
        </w:rPr>
        <w:t>por “práctica obstructiva” se entiende:</w:t>
      </w:r>
    </w:p>
    <w:p w14:paraId="74B056F0" w14:textId="77777777" w:rsidR="00B52C89" w:rsidRPr="00B52C89" w:rsidRDefault="00B52C89" w:rsidP="00B52C89">
      <w:pPr>
        <w:pStyle w:val="Prrafodelista"/>
        <w:widowControl w:val="0"/>
        <w:numPr>
          <w:ilvl w:val="0"/>
          <w:numId w:val="9"/>
        </w:numPr>
        <w:autoSpaceDE w:val="0"/>
        <w:autoSpaceDN w:val="0"/>
        <w:adjustRightInd w:val="0"/>
        <w:ind w:left="2977" w:right="-74" w:hanging="567"/>
        <w:jc w:val="both"/>
        <w:rPr>
          <w:rFonts w:asciiTheme="majorHAnsi" w:hAnsiTheme="majorHAnsi" w:cstheme="majorHAnsi"/>
          <w:sz w:val="22"/>
          <w:szCs w:val="22"/>
          <w:lang w:val="es-CO"/>
        </w:rPr>
      </w:pPr>
      <w:r w:rsidRPr="00B52C89">
        <w:rPr>
          <w:rFonts w:asciiTheme="majorHAnsi" w:hAnsiTheme="majorHAnsi" w:cstheme="majorHAnsi"/>
          <w:sz w:val="22"/>
          <w:szCs w:val="22"/>
          <w:lang w:val="es-CO"/>
        </w:rPr>
        <w:t>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w:t>
      </w:r>
    </w:p>
    <w:p w14:paraId="2C041E3D" w14:textId="77777777" w:rsidR="00B52C89" w:rsidRPr="00B52C89" w:rsidRDefault="00B52C89" w:rsidP="00B52C89">
      <w:pPr>
        <w:pStyle w:val="Prrafodelista"/>
        <w:widowControl w:val="0"/>
        <w:numPr>
          <w:ilvl w:val="0"/>
          <w:numId w:val="9"/>
        </w:numPr>
        <w:autoSpaceDE w:val="0"/>
        <w:autoSpaceDN w:val="0"/>
        <w:adjustRightInd w:val="0"/>
        <w:ind w:left="2977" w:right="-74" w:hanging="567"/>
        <w:jc w:val="both"/>
        <w:rPr>
          <w:rFonts w:asciiTheme="majorHAnsi" w:hAnsiTheme="majorHAnsi" w:cstheme="majorHAnsi"/>
          <w:sz w:val="22"/>
          <w:szCs w:val="22"/>
          <w:lang w:val="es-CO"/>
        </w:rPr>
      </w:pPr>
      <w:r w:rsidRPr="00B52C89">
        <w:rPr>
          <w:rFonts w:asciiTheme="majorHAnsi" w:hAnsiTheme="majorHAnsi" w:cstheme="majorHAnsi"/>
          <w:sz w:val="22"/>
          <w:szCs w:val="22"/>
          <w:lang w:val="es-CO"/>
        </w:rPr>
        <w:t>los actos destinados a impedir materialmente que el Banco ejerza sus derechos de inspección y auditoría establecidos en el párrafo 2.2 e), que figura a continuación.</w:t>
      </w:r>
    </w:p>
    <w:p w14:paraId="3508D71D" w14:textId="77777777" w:rsidR="00B52C89" w:rsidRPr="00B52C89" w:rsidRDefault="00B52C89" w:rsidP="00B52C89">
      <w:pPr>
        <w:pStyle w:val="Prrafodelista"/>
        <w:widowControl w:val="0"/>
        <w:numPr>
          <w:ilvl w:val="0"/>
          <w:numId w:val="8"/>
        </w:numPr>
        <w:autoSpaceDE w:val="0"/>
        <w:autoSpaceDN w:val="0"/>
        <w:adjustRightInd w:val="0"/>
        <w:ind w:left="1134" w:right="-74"/>
        <w:jc w:val="both"/>
        <w:rPr>
          <w:rFonts w:asciiTheme="majorHAnsi" w:hAnsiTheme="majorHAnsi" w:cstheme="majorHAnsi"/>
          <w:sz w:val="22"/>
          <w:szCs w:val="22"/>
          <w:lang w:val="es-CO"/>
        </w:rPr>
      </w:pPr>
      <w:r w:rsidRPr="00B52C89">
        <w:rPr>
          <w:rFonts w:asciiTheme="majorHAnsi" w:hAnsiTheme="majorHAnsi" w:cstheme="majorHAnsi"/>
          <w:sz w:val="22"/>
          <w:szCs w:val="22"/>
          <w:lang w:val="es-CO"/>
        </w:rPr>
        <w:t xml:space="preserve">Rechazará toda propuesta de adjudicación si determina que la empresa o persona recomendada para la adjudicación, los miembros de su personal, sus agentes, subconsultores, subcontratistas, prestadores de servicios, proveedores o empleados han </w:t>
      </w:r>
      <w:r w:rsidRPr="00B52C89">
        <w:rPr>
          <w:rFonts w:asciiTheme="majorHAnsi" w:hAnsiTheme="majorHAnsi" w:cstheme="majorHAnsi"/>
          <w:sz w:val="22"/>
          <w:szCs w:val="22"/>
          <w:lang w:val="es-CO"/>
        </w:rPr>
        <w:lastRenderedPageBreak/>
        <w:t>participado, directa o indirectamente, en prácticas corruptas, fraudulentas, colusorias, coercitivas u obstructivas para competir por el contrato en cuestión.</w:t>
      </w:r>
    </w:p>
    <w:p w14:paraId="2F313BEB" w14:textId="77777777" w:rsidR="00B52C89" w:rsidRPr="00B52C89" w:rsidRDefault="00B52C89" w:rsidP="00B52C89">
      <w:pPr>
        <w:widowControl w:val="0"/>
        <w:numPr>
          <w:ilvl w:val="0"/>
          <w:numId w:val="8"/>
        </w:numPr>
        <w:autoSpaceDE w:val="0"/>
        <w:autoSpaceDN w:val="0"/>
        <w:adjustRightInd w:val="0"/>
        <w:ind w:left="1134" w:right="-74"/>
        <w:jc w:val="both"/>
        <w:rPr>
          <w:rFonts w:asciiTheme="majorHAnsi" w:hAnsiTheme="majorHAnsi" w:cstheme="majorHAnsi"/>
          <w:sz w:val="22"/>
          <w:szCs w:val="22"/>
          <w:lang w:val="es-CO"/>
        </w:rPr>
      </w:pPr>
      <w:r w:rsidRPr="00B52C89">
        <w:rPr>
          <w:rFonts w:asciiTheme="majorHAnsi" w:hAnsiTheme="majorHAnsi" w:cstheme="majorHAnsi"/>
          <w:sz w:val="22"/>
          <w:szCs w:val="22"/>
          <w:lang w:val="es-CO"/>
        </w:rPr>
        <w:t xml:space="preserve">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oportunas y adecuadas, satisfactorias para el Banco, para abordar dichas prácticas cuando estas ocurrieron, como informar en tiempo y forma a este último al tomar conocimiento de los hechos. </w:t>
      </w:r>
    </w:p>
    <w:p w14:paraId="0ED46BAF" w14:textId="77777777" w:rsidR="00B52C89" w:rsidRPr="00B52C89" w:rsidRDefault="00B52C89" w:rsidP="00B52C89">
      <w:pPr>
        <w:widowControl w:val="0"/>
        <w:numPr>
          <w:ilvl w:val="0"/>
          <w:numId w:val="8"/>
        </w:numPr>
        <w:autoSpaceDE w:val="0"/>
        <w:autoSpaceDN w:val="0"/>
        <w:adjustRightInd w:val="0"/>
        <w:ind w:left="1134" w:right="-74"/>
        <w:jc w:val="both"/>
        <w:rPr>
          <w:rFonts w:asciiTheme="majorHAnsi" w:hAnsiTheme="majorHAnsi" w:cstheme="majorHAnsi"/>
          <w:sz w:val="22"/>
          <w:szCs w:val="22"/>
          <w:lang w:val="es-CO"/>
        </w:rPr>
      </w:pPr>
      <w:r w:rsidRPr="00B52C89">
        <w:rPr>
          <w:rFonts w:asciiTheme="majorHAnsi" w:hAnsiTheme="majorHAnsi" w:cstheme="majorHAnsi"/>
          <w:sz w:val="22"/>
          <w:szCs w:val="22"/>
          <w:lang w:val="es-CO"/>
        </w:rPr>
        <w:t>Sancionará, conforme a lo establecido en sus Directrices Contra la Corrupción y a sus políticas y procedimientos de sanciones vigentes, en forma indefinida o por un período determinado, a cualquier empresa o persona, declarándola públicamente inelegible para i) recibir la adjudicación de un contrato financiado por el Banco u obtener beneficios financieros o de otro tipo a través de dicho contrato</w:t>
      </w:r>
      <w:r w:rsidRPr="00B52C89">
        <w:rPr>
          <w:rFonts w:asciiTheme="majorHAnsi" w:hAnsiTheme="majorHAnsi" w:cstheme="majorHAnsi"/>
          <w:sz w:val="22"/>
          <w:szCs w:val="22"/>
          <w:vertAlign w:val="superscript"/>
          <w:lang w:val="es-CO"/>
        </w:rPr>
        <w:footnoteReference w:id="2"/>
      </w:r>
      <w:r w:rsidRPr="00B52C89">
        <w:rPr>
          <w:rFonts w:asciiTheme="majorHAnsi" w:hAnsiTheme="majorHAnsi" w:cstheme="majorHAnsi"/>
          <w:sz w:val="22"/>
          <w:szCs w:val="22"/>
          <w:lang w:val="es-CO"/>
        </w:rPr>
        <w:t>; ii) ser designada</w:t>
      </w:r>
      <w:r w:rsidRPr="00B52C89">
        <w:rPr>
          <w:rFonts w:asciiTheme="majorHAnsi" w:hAnsiTheme="majorHAnsi" w:cstheme="majorHAnsi"/>
          <w:sz w:val="22"/>
          <w:szCs w:val="22"/>
          <w:vertAlign w:val="superscript"/>
          <w:lang w:val="es-CO"/>
        </w:rPr>
        <w:footnoteReference w:id="3"/>
      </w:r>
      <w:r w:rsidRPr="00B52C89">
        <w:rPr>
          <w:rFonts w:asciiTheme="majorHAnsi" w:hAnsiTheme="majorHAnsi" w:cstheme="majorHAnsi"/>
          <w:sz w:val="22"/>
          <w:szCs w:val="22"/>
          <w:lang w:val="es-CO"/>
        </w:rPr>
        <w:t xml:space="preserve"> subcontratista, consultor, fabricante o proveedor, o prestador de servicios nominado de una empresa habilitada para ser adjudicataria de un contrato financiado por el Banco, y iii) recibir los fondos de un contrato otorgado por el Banco o seguir participando en la preparación o ejecución de un proyecto financiado por este.</w:t>
      </w:r>
    </w:p>
    <w:p w14:paraId="0633CCBA" w14:textId="7A4C98B7" w:rsidR="00B52C89" w:rsidRDefault="00B52C89" w:rsidP="00B52C89">
      <w:pPr>
        <w:widowControl w:val="0"/>
        <w:autoSpaceDE w:val="0"/>
        <w:autoSpaceDN w:val="0"/>
        <w:adjustRightInd w:val="0"/>
        <w:ind w:left="1134" w:right="-74" w:hanging="306"/>
        <w:jc w:val="both"/>
        <w:rPr>
          <w:rFonts w:asciiTheme="majorHAnsi" w:hAnsiTheme="majorHAnsi" w:cstheme="majorHAnsi"/>
          <w:sz w:val="22"/>
          <w:szCs w:val="22"/>
          <w:lang w:val="es-CO"/>
        </w:rPr>
      </w:pPr>
      <w:r w:rsidRPr="00B52C89">
        <w:rPr>
          <w:rFonts w:asciiTheme="majorHAnsi" w:hAnsiTheme="majorHAnsi" w:cstheme="majorHAnsi"/>
          <w:sz w:val="22"/>
          <w:szCs w:val="22"/>
          <w:lang w:val="es-CO"/>
        </w:rPr>
        <w:t>e.</w:t>
      </w:r>
      <w:r w:rsidRPr="00B52C89">
        <w:rPr>
          <w:rFonts w:asciiTheme="majorHAnsi" w:hAnsiTheme="majorHAnsi" w:cstheme="majorHAnsi"/>
          <w:sz w:val="22"/>
          <w:szCs w:val="22"/>
          <w:lang w:val="es-CO"/>
        </w:rPr>
        <w:tab/>
        <w:t>Exigirá que en los documentos de Solicitud de Ofertas/SDP y en los contratos financiados con préstamos del Banco se incluya una cláusula en la que se exija que los licitantes (postulantes / proponentes), consultores, contratistas y proveedores, así como sus subcontratistas, subconsultores, agentes, empleados, consultores, prestadores de servicios o proveedores, permitan al Banco inspeccionar</w:t>
      </w:r>
      <w:r w:rsidRPr="00B52C89">
        <w:rPr>
          <w:rFonts w:asciiTheme="majorHAnsi" w:hAnsiTheme="majorHAnsi" w:cstheme="majorHAnsi"/>
          <w:sz w:val="22"/>
          <w:szCs w:val="22"/>
          <w:vertAlign w:val="superscript"/>
          <w:lang w:val="es-CO"/>
        </w:rPr>
        <w:footnoteReference w:id="4"/>
      </w:r>
      <w:r w:rsidRPr="00B52C89">
        <w:rPr>
          <w:rFonts w:asciiTheme="majorHAnsi" w:hAnsiTheme="majorHAnsi" w:cstheme="majorHAnsi"/>
          <w:sz w:val="22"/>
          <w:szCs w:val="22"/>
          <w:lang w:val="es-CO"/>
        </w:rPr>
        <w:t xml:space="preserve"> todas las cuentas, registros y otros documentos relacionados con la presentación de propuestas y el cumplimiento de los contratos, y someterlos a la auditoría de profesionales nombrados por este.</w:t>
      </w:r>
      <w:bookmarkEnd w:id="0"/>
    </w:p>
    <w:sectPr w:rsidR="00B52C89" w:rsidSect="000A58D5">
      <w:headerReference w:type="even" r:id="rId10"/>
      <w:headerReference w:type="default" r:id="rId11"/>
      <w:headerReference w:type="first" r:id="rId12"/>
      <w:pgSz w:w="12240" w:h="15840"/>
      <w:pgMar w:top="1985" w:right="1701" w:bottom="1560" w:left="1701" w:header="198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20858" w14:textId="77777777" w:rsidR="001D2817" w:rsidRDefault="001D2817" w:rsidP="006A2D70">
      <w:r>
        <w:separator/>
      </w:r>
    </w:p>
  </w:endnote>
  <w:endnote w:type="continuationSeparator" w:id="0">
    <w:p w14:paraId="37CE98C0" w14:textId="77777777" w:rsidR="001D2817" w:rsidRDefault="001D2817" w:rsidP="006A2D70">
      <w:r>
        <w:continuationSeparator/>
      </w:r>
    </w:p>
  </w:endnote>
  <w:endnote w:type="continuationNotice" w:id="1">
    <w:p w14:paraId="64D9A98B" w14:textId="77777777" w:rsidR="0079277A" w:rsidRDefault="007927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Times New Roman Bold">
    <w:altName w:val="Times New Roman"/>
    <w:charset w:val="00"/>
    <w:family w:val="auto"/>
    <w:pitch w:val="variable"/>
    <w:sig w:usb0="E0002AEF" w:usb1="C0007841" w:usb2="00000009" w:usb3="00000000" w:csb0="000001FF" w:csb1="00000000"/>
  </w:font>
  <w:font w:name="Andes">
    <w:altName w:val="Calibri"/>
    <w:panose1 w:val="00000000000000000000"/>
    <w:charset w:val="00"/>
    <w:family w:val="modern"/>
    <w:notTrueType/>
    <w:pitch w:val="variable"/>
    <w:sig w:usb0="A000002F" w:usb1="5000005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904FC" w14:textId="77777777" w:rsidR="001D2817" w:rsidRDefault="001D2817" w:rsidP="006A2D70">
      <w:r>
        <w:separator/>
      </w:r>
    </w:p>
  </w:footnote>
  <w:footnote w:type="continuationSeparator" w:id="0">
    <w:p w14:paraId="5155FF0E" w14:textId="77777777" w:rsidR="001D2817" w:rsidRDefault="001D2817" w:rsidP="006A2D70">
      <w:r>
        <w:continuationSeparator/>
      </w:r>
    </w:p>
  </w:footnote>
  <w:footnote w:type="continuationNotice" w:id="1">
    <w:p w14:paraId="439A2807" w14:textId="77777777" w:rsidR="0079277A" w:rsidRDefault="0079277A"/>
  </w:footnote>
  <w:footnote w:id="2">
    <w:p w14:paraId="2E97C333" w14:textId="77777777" w:rsidR="00B52C89" w:rsidRPr="00B52C89" w:rsidRDefault="00B52C89" w:rsidP="00B52C89">
      <w:pPr>
        <w:pStyle w:val="Textonotapie"/>
        <w:ind w:left="284" w:hanging="284"/>
        <w:jc w:val="both"/>
        <w:rPr>
          <w:rFonts w:asciiTheme="majorHAnsi" w:hAnsiTheme="majorHAnsi" w:cstheme="majorHAnsi"/>
          <w:sz w:val="18"/>
          <w:szCs w:val="18"/>
        </w:rPr>
      </w:pPr>
      <w:r w:rsidRPr="00B52C89">
        <w:rPr>
          <w:rStyle w:val="Refdenotaalpie"/>
          <w:rFonts w:asciiTheme="majorHAnsi" w:hAnsiTheme="majorHAnsi" w:cstheme="majorHAnsi"/>
          <w:sz w:val="18"/>
          <w:szCs w:val="18"/>
        </w:rPr>
        <w:footnoteRef/>
      </w:r>
      <w:r w:rsidRPr="00B52C89">
        <w:rPr>
          <w:rFonts w:asciiTheme="majorHAnsi" w:hAnsiTheme="majorHAnsi" w:cstheme="majorHAnsi"/>
          <w:sz w:val="18"/>
          <w:szCs w:val="18"/>
        </w:rPr>
        <w:t xml:space="preserve"> </w:t>
      </w:r>
      <w:r w:rsidRPr="00B52C89">
        <w:rPr>
          <w:rFonts w:asciiTheme="majorHAnsi" w:hAnsiTheme="majorHAnsi" w:cstheme="majorHAnsi"/>
          <w:sz w:val="18"/>
          <w:szCs w:val="18"/>
        </w:rPr>
        <w:tab/>
        <w:t>Para disipar cualquier duda, la inelegibilidad de una parte para recibir la adjudicación de un contrato incluirá, entre otras cosas, (i) solicitar la precalificación, expresar interés en la prestación de servicios de consultoría y presentar ofertas/propuestas, en forma directa o en calidad de subcontratista, fabricante o proveedor, o prestador de servicios nominado, en relación con dicho contrato, y (ii) suscribir una enmienda o modificación en la que introduzcan cambios sustanciales a un contrato existente.</w:t>
      </w:r>
    </w:p>
  </w:footnote>
  <w:footnote w:id="3">
    <w:p w14:paraId="0F2846E9" w14:textId="77777777" w:rsidR="00B52C89" w:rsidRPr="00B52C89" w:rsidRDefault="00B52C89" w:rsidP="00B52C89">
      <w:pPr>
        <w:pStyle w:val="Textonotapie"/>
        <w:tabs>
          <w:tab w:val="left" w:pos="426"/>
        </w:tabs>
        <w:ind w:left="284" w:hanging="284"/>
        <w:jc w:val="both"/>
        <w:rPr>
          <w:rFonts w:asciiTheme="majorHAnsi" w:hAnsiTheme="majorHAnsi" w:cstheme="majorHAnsi"/>
          <w:sz w:val="18"/>
          <w:szCs w:val="18"/>
        </w:rPr>
      </w:pPr>
      <w:r w:rsidRPr="00B52C89">
        <w:rPr>
          <w:rStyle w:val="Refdenotaalpie"/>
          <w:rFonts w:asciiTheme="majorHAnsi" w:hAnsiTheme="majorHAnsi" w:cstheme="majorHAnsi"/>
          <w:sz w:val="18"/>
          <w:szCs w:val="18"/>
        </w:rPr>
        <w:footnoteRef/>
      </w:r>
      <w:r w:rsidRPr="00B52C89">
        <w:rPr>
          <w:rFonts w:asciiTheme="majorHAnsi" w:hAnsiTheme="majorHAnsi" w:cstheme="majorHAnsi"/>
          <w:sz w:val="18"/>
          <w:szCs w:val="18"/>
        </w:rPr>
        <w:t xml:space="preserve"> </w:t>
      </w:r>
      <w:r w:rsidRPr="00B52C89">
        <w:rPr>
          <w:rFonts w:asciiTheme="majorHAnsi" w:hAnsiTheme="majorHAnsi" w:cstheme="majorHAnsi"/>
          <w:sz w:val="18"/>
          <w:szCs w:val="18"/>
        </w:rPr>
        <w:tab/>
        <w:t>Un subcontratista, consultor, fabricante o proveedor, o prestador de servicios nominado (el nombre dependerá del documento de licitación de que se trate) es aquel que (i) figura en la solicitud de precalificación u oferta del Licitante (postulante / proponente) debido a que aporta la experiencia y los conocimientos especializados esenciales que le permiten cumplir los requisitos de calificación para una oferta/propuesta en particular, o (ii) ha sido designado por el Prestador.</w:t>
      </w:r>
    </w:p>
  </w:footnote>
  <w:footnote w:id="4">
    <w:p w14:paraId="173501C8" w14:textId="77777777" w:rsidR="00B52C89" w:rsidRPr="00E57226" w:rsidRDefault="00B52C89" w:rsidP="00B52C89">
      <w:pPr>
        <w:pStyle w:val="Textonotapie"/>
        <w:tabs>
          <w:tab w:val="left" w:pos="426"/>
        </w:tabs>
        <w:ind w:left="284" w:hanging="284"/>
        <w:jc w:val="both"/>
      </w:pPr>
      <w:r w:rsidRPr="00B52C89">
        <w:rPr>
          <w:rStyle w:val="Refdenotaalpie"/>
          <w:rFonts w:asciiTheme="majorHAnsi" w:hAnsiTheme="majorHAnsi" w:cstheme="majorHAnsi"/>
          <w:sz w:val="18"/>
          <w:szCs w:val="18"/>
        </w:rPr>
        <w:footnoteRef/>
      </w:r>
      <w:r w:rsidRPr="00B52C89">
        <w:rPr>
          <w:rFonts w:asciiTheme="majorHAnsi" w:hAnsiTheme="majorHAnsi" w:cstheme="majorHAnsi"/>
          <w:sz w:val="18"/>
          <w:szCs w:val="18"/>
        </w:rPr>
        <w:t xml:space="preserve"> </w:t>
      </w:r>
      <w:r w:rsidRPr="00B52C89">
        <w:rPr>
          <w:rFonts w:asciiTheme="majorHAnsi" w:hAnsiTheme="majorHAnsi" w:cstheme="majorHAnsi"/>
          <w:sz w:val="18"/>
          <w:szCs w:val="18"/>
        </w:rPr>
        <w:tab/>
        <w:t xml:space="preserve">Las inspecciones que se llevan a cabo en este contexto suelen ser de carácter investigativo (es decir, forense). </w:t>
      </w:r>
      <w:r w:rsidRPr="00B52C89">
        <w:rPr>
          <w:rFonts w:asciiTheme="majorHAnsi" w:hAnsiTheme="majorHAnsi" w:cstheme="majorHAnsi"/>
          <w:sz w:val="18"/>
          <w:szCs w:val="18"/>
        </w:rPr>
        <w:br/>
        <w:t>Consisten en actividades de constatación realizadas por el Banco o por personas nombradas por este para abordar asuntos específicos relativos a las investigaciones/auditorías, como determinar la veracidad de una denuncia de fraude y corrupción a través de los mecanismos adecuados. Dicha actividad incluye, entre otras cosas, acceder a la información y los registros financieros de una empresa o persona, examinarlos y hacer las copias que corresponda; acceder a cualquier otro tipo de documentos, datos o información (ya sea en formato impreso o electrónico) que se considere pertinente para la investigación/auditoría, examinarlos y hacer las copias que corresponda; entrevistar al personal y otras personas; realizar inspecciones físicas y visitas al emplazamiento, y someter la información a la verificación de terceros.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582F3" w14:textId="77777777" w:rsidR="006A2D70" w:rsidRPr="00EE16E1" w:rsidRDefault="006A2D70" w:rsidP="00FC38A3">
    <w:pPr>
      <w:pBdr>
        <w:bottom w:val="single" w:sz="4" w:space="1" w:color="auto"/>
      </w:pBdr>
      <w:tabs>
        <w:tab w:val="right" w:pos="9360"/>
      </w:tabs>
      <w:rPr>
        <w:sz w:val="20"/>
        <w:lang w:val="es-CO"/>
      </w:rPr>
    </w:pPr>
    <w:r w:rsidRPr="00EE16E1">
      <w:rPr>
        <w:sz w:val="20"/>
        <w:szCs w:val="20"/>
      </w:rPr>
      <w:t>S</w:t>
    </w:r>
    <w:r>
      <w:rPr>
        <w:sz w:val="20"/>
        <w:szCs w:val="20"/>
      </w:rPr>
      <w:t>ección 6. Fraude y corrupción</w:t>
    </w:r>
    <w:r>
      <w:rPr>
        <w:sz w:val="20"/>
        <w:szCs w:val="20"/>
        <w:lang w:val="es-CO"/>
      </w:rPr>
      <w:tab/>
    </w:r>
    <w:r w:rsidRPr="00EE16E1">
      <w:rPr>
        <w:sz w:val="20"/>
        <w:lang w:val="es-CO"/>
      </w:rPr>
      <w:fldChar w:fldCharType="begin"/>
    </w:r>
    <w:r w:rsidRPr="00EE16E1">
      <w:rPr>
        <w:sz w:val="20"/>
        <w:lang w:val="es-CO"/>
      </w:rPr>
      <w:instrText xml:space="preserve"> PAGE   \* MERGEFORMAT </w:instrText>
    </w:r>
    <w:r w:rsidRPr="00EE16E1">
      <w:rPr>
        <w:sz w:val="20"/>
        <w:lang w:val="es-CO"/>
      </w:rPr>
      <w:fldChar w:fldCharType="separate"/>
    </w:r>
    <w:r>
      <w:rPr>
        <w:noProof/>
        <w:sz w:val="20"/>
        <w:lang w:val="es-CO"/>
      </w:rPr>
      <w:t>82</w:t>
    </w:r>
    <w:r w:rsidRPr="00EE16E1">
      <w:rPr>
        <w:sz w:val="20"/>
        <w:lang w:val="es-CO"/>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C38E9" w14:textId="72B60E2F" w:rsidR="000A6F8B" w:rsidRDefault="00B1512A">
    <w:pPr>
      <w:pStyle w:val="Encabezado"/>
    </w:pPr>
    <w:r>
      <w:rPr>
        <w:noProof/>
      </w:rPr>
      <w:drawing>
        <wp:anchor distT="0" distB="0" distL="114300" distR="114300" simplePos="0" relativeHeight="251658240" behindDoc="1" locked="0" layoutInCell="1" allowOverlap="1" wp14:anchorId="4D4B1D74" wp14:editId="4A783E5C">
          <wp:simplePos x="0" y="0"/>
          <wp:positionH relativeFrom="page">
            <wp:align>right</wp:align>
          </wp:positionH>
          <wp:positionV relativeFrom="paragraph">
            <wp:posOffset>-1258432</wp:posOffset>
          </wp:positionV>
          <wp:extent cx="7781262" cy="10069869"/>
          <wp:effectExtent l="0" t="0" r="0" b="7620"/>
          <wp:wrapNone/>
          <wp:docPr id="1910130934" name="Picture 1910130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1262" cy="10069869"/>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437FE" w14:textId="77777777" w:rsidR="006A2D70" w:rsidRDefault="006A2D70">
    <w:pPr>
      <w:pStyle w:val="Encabezado"/>
    </w:pPr>
    <w:r>
      <w:t>Sección VII - Países Elegibles</w:t>
    </w:r>
    <w: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83</w:t>
    </w:r>
    <w:r>
      <w:rPr>
        <w:rStyle w:val="Nmerodepgina"/>
      </w:rPr>
      <w:fldChar w:fldCharType="end"/>
    </w:r>
  </w:p>
  <w:p w14:paraId="12E4E44B" w14:textId="77777777" w:rsidR="006A2D70" w:rsidRDefault="006A2D7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741F6"/>
    <w:multiLevelType w:val="hybridMultilevel"/>
    <w:tmpl w:val="1FC8AA50"/>
    <w:lvl w:ilvl="0" w:tplc="E9B0CD36">
      <w:start w:val="1"/>
      <w:numFmt w:val="lowerLetter"/>
      <w:lvlText w:val="%1)"/>
      <w:lvlJc w:val="left"/>
      <w:pPr>
        <w:ind w:left="3240" w:hanging="360"/>
      </w:pPr>
      <w:rPr>
        <w:rFonts w:hint="default"/>
      </w:rPr>
    </w:lvl>
    <w:lvl w:ilvl="1" w:tplc="240A0019" w:tentative="1">
      <w:start w:val="1"/>
      <w:numFmt w:val="lowerLetter"/>
      <w:lvlText w:val="%2."/>
      <w:lvlJc w:val="left"/>
      <w:pPr>
        <w:ind w:left="3960" w:hanging="360"/>
      </w:pPr>
    </w:lvl>
    <w:lvl w:ilvl="2" w:tplc="240A001B" w:tentative="1">
      <w:start w:val="1"/>
      <w:numFmt w:val="lowerRoman"/>
      <w:lvlText w:val="%3."/>
      <w:lvlJc w:val="right"/>
      <w:pPr>
        <w:ind w:left="4680" w:hanging="180"/>
      </w:pPr>
    </w:lvl>
    <w:lvl w:ilvl="3" w:tplc="240A000F" w:tentative="1">
      <w:start w:val="1"/>
      <w:numFmt w:val="decimal"/>
      <w:lvlText w:val="%4."/>
      <w:lvlJc w:val="left"/>
      <w:pPr>
        <w:ind w:left="5400" w:hanging="360"/>
      </w:pPr>
    </w:lvl>
    <w:lvl w:ilvl="4" w:tplc="240A0019" w:tentative="1">
      <w:start w:val="1"/>
      <w:numFmt w:val="lowerLetter"/>
      <w:lvlText w:val="%5."/>
      <w:lvlJc w:val="left"/>
      <w:pPr>
        <w:ind w:left="6120" w:hanging="360"/>
      </w:pPr>
    </w:lvl>
    <w:lvl w:ilvl="5" w:tplc="240A001B" w:tentative="1">
      <w:start w:val="1"/>
      <w:numFmt w:val="lowerRoman"/>
      <w:lvlText w:val="%6."/>
      <w:lvlJc w:val="right"/>
      <w:pPr>
        <w:ind w:left="6840" w:hanging="180"/>
      </w:pPr>
    </w:lvl>
    <w:lvl w:ilvl="6" w:tplc="240A000F" w:tentative="1">
      <w:start w:val="1"/>
      <w:numFmt w:val="decimal"/>
      <w:lvlText w:val="%7."/>
      <w:lvlJc w:val="left"/>
      <w:pPr>
        <w:ind w:left="7560" w:hanging="360"/>
      </w:pPr>
    </w:lvl>
    <w:lvl w:ilvl="7" w:tplc="240A0019" w:tentative="1">
      <w:start w:val="1"/>
      <w:numFmt w:val="lowerLetter"/>
      <w:lvlText w:val="%8."/>
      <w:lvlJc w:val="left"/>
      <w:pPr>
        <w:ind w:left="8280" w:hanging="360"/>
      </w:pPr>
    </w:lvl>
    <w:lvl w:ilvl="8" w:tplc="240A001B" w:tentative="1">
      <w:start w:val="1"/>
      <w:numFmt w:val="lowerRoman"/>
      <w:lvlText w:val="%9."/>
      <w:lvlJc w:val="right"/>
      <w:pPr>
        <w:ind w:left="9000" w:hanging="180"/>
      </w:pPr>
    </w:lvl>
  </w:abstractNum>
  <w:abstractNum w:abstractNumId="1" w15:restartNumberingAfterBreak="0">
    <w:nsid w:val="03BF6027"/>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B0D07B9"/>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9B66522"/>
    <w:multiLevelType w:val="hybridMultilevel"/>
    <w:tmpl w:val="7BD86F9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21B7B9E"/>
    <w:multiLevelType w:val="hybridMultilevel"/>
    <w:tmpl w:val="82488B02"/>
    <w:lvl w:ilvl="0" w:tplc="7A2AFE24">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F5224C"/>
    <w:multiLevelType w:val="hybridMultilevel"/>
    <w:tmpl w:val="776A869A"/>
    <w:lvl w:ilvl="0" w:tplc="9786536C">
      <w:start w:val="1"/>
      <w:numFmt w:val="lowerLetter"/>
      <w:lvlText w:val="%1)"/>
      <w:lvlJc w:val="left"/>
      <w:pPr>
        <w:ind w:left="720" w:hanging="360"/>
      </w:pPr>
      <w:rPr>
        <w:rFonts w:hint="default"/>
      </w:rPr>
    </w:lvl>
    <w:lvl w:ilvl="1" w:tplc="389C258C">
      <w:start w:val="1"/>
      <w:numFmt w:val="lowerRoman"/>
      <w:lvlText w:val="%2."/>
      <w:lvlJc w:val="left"/>
      <w:pPr>
        <w:ind w:left="2160" w:hanging="720"/>
      </w:pPr>
      <w:rPr>
        <w:rFonts w:hint="default"/>
      </w:r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 w15:restartNumberingAfterBreak="0">
    <w:nsid w:val="73F24D7E"/>
    <w:multiLevelType w:val="hybridMultilevel"/>
    <w:tmpl w:val="F2F89DD0"/>
    <w:lvl w:ilvl="0" w:tplc="04090017">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7A753078"/>
    <w:multiLevelType w:val="hybridMultilevel"/>
    <w:tmpl w:val="5BD8D440"/>
    <w:lvl w:ilvl="0" w:tplc="60BECB26">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AA02CBC"/>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803841257">
    <w:abstractNumId w:val="1"/>
  </w:num>
  <w:num w:numId="2" w16cid:durableId="281808012">
    <w:abstractNumId w:val="4"/>
  </w:num>
  <w:num w:numId="3" w16cid:durableId="373971598">
    <w:abstractNumId w:val="7"/>
  </w:num>
  <w:num w:numId="4" w16cid:durableId="933712621">
    <w:abstractNumId w:val="8"/>
  </w:num>
  <w:num w:numId="5" w16cid:durableId="1688171349">
    <w:abstractNumId w:val="6"/>
  </w:num>
  <w:num w:numId="6" w16cid:durableId="419059378">
    <w:abstractNumId w:val="5"/>
  </w:num>
  <w:num w:numId="7" w16cid:durableId="780103631">
    <w:abstractNumId w:val="2"/>
  </w:num>
  <w:num w:numId="8" w16cid:durableId="240792486">
    <w:abstractNumId w:val="3"/>
  </w:num>
  <w:num w:numId="9" w16cid:durableId="1549100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D70"/>
    <w:rsid w:val="00021628"/>
    <w:rsid w:val="000A58D5"/>
    <w:rsid w:val="000A6F8B"/>
    <w:rsid w:val="0019622D"/>
    <w:rsid w:val="001D2817"/>
    <w:rsid w:val="001E77C3"/>
    <w:rsid w:val="003D1A8F"/>
    <w:rsid w:val="004734A7"/>
    <w:rsid w:val="0048445B"/>
    <w:rsid w:val="005B0ED7"/>
    <w:rsid w:val="005C26D4"/>
    <w:rsid w:val="00602EC9"/>
    <w:rsid w:val="006554A2"/>
    <w:rsid w:val="006A2D70"/>
    <w:rsid w:val="006E4BEC"/>
    <w:rsid w:val="00757AA2"/>
    <w:rsid w:val="0079277A"/>
    <w:rsid w:val="008207BE"/>
    <w:rsid w:val="008432C6"/>
    <w:rsid w:val="0095526E"/>
    <w:rsid w:val="009824FF"/>
    <w:rsid w:val="00B1512A"/>
    <w:rsid w:val="00B52C89"/>
    <w:rsid w:val="00C51BC6"/>
    <w:rsid w:val="00E70B00"/>
    <w:rsid w:val="00E817D8"/>
    <w:rsid w:val="00F87C1E"/>
    <w:rsid w:val="00FC38A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B3E5B88"/>
  <w15:chartTrackingRefBased/>
  <w15:docId w15:val="{DF212AC4-3D39-4296-8F81-F805BF1D7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D70"/>
    <w:pPr>
      <w:spacing w:after="0" w:line="240" w:lineRule="auto"/>
    </w:pPr>
    <w:rPr>
      <w:rFonts w:ascii="Times New Roman" w:eastAsia="Times New Roman" w:hAnsi="Times New Roman" w:cs="Times New Roman"/>
      <w:sz w:val="24"/>
      <w:szCs w:val="24"/>
      <w:lang w:val="es-ES" w:eastAsia="es-ES" w:bidi="es-ES"/>
    </w:rPr>
  </w:style>
  <w:style w:type="paragraph" w:styleId="Ttulo1">
    <w:name w:val="heading 1"/>
    <w:basedOn w:val="Normal"/>
    <w:next w:val="Normal"/>
    <w:link w:val="Ttulo1Car"/>
    <w:qFormat/>
    <w:rsid w:val="006A2D70"/>
    <w:pPr>
      <w:keepNext/>
      <w:keepLines/>
      <w:spacing w:before="240" w:after="240"/>
      <w:jc w:val="center"/>
      <w:outlineLvl w:val="0"/>
    </w:pPr>
    <w:rPr>
      <w:rFonts w:ascii="Times New Roman Bold" w:hAnsi="Times New Roman Bold"/>
      <w:b/>
      <w:sz w:val="32"/>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A2D70"/>
    <w:rPr>
      <w:rFonts w:ascii="Times New Roman Bold" w:eastAsia="Times New Roman" w:hAnsi="Times New Roman Bold" w:cs="Times New Roman"/>
      <w:b/>
      <w:sz w:val="32"/>
      <w:szCs w:val="20"/>
      <w:lang w:val="es-ES" w:eastAsia="es-ES" w:bidi="es-ES"/>
    </w:rPr>
  </w:style>
  <w:style w:type="paragraph" w:styleId="Prrafodelista">
    <w:name w:val="List Paragraph"/>
    <w:aliases w:val="Citation List,본문(내용),List Paragraph (numbered (a)),Colorful List - Accent 11"/>
    <w:basedOn w:val="Normal"/>
    <w:link w:val="PrrafodelistaCar"/>
    <w:uiPriority w:val="34"/>
    <w:qFormat/>
    <w:rsid w:val="006A2D70"/>
    <w:pPr>
      <w:ind w:left="720"/>
      <w:contextualSpacing/>
    </w:pPr>
  </w:style>
  <w:style w:type="character" w:customStyle="1" w:styleId="PrrafodelistaCar">
    <w:name w:val="Párrafo de lista Car"/>
    <w:aliases w:val="Citation List Car,본문(내용) Car,List Paragraph (numbered (a)) Car,Colorful List - Accent 11 Car"/>
    <w:basedOn w:val="Fuentedeprrafopredeter"/>
    <w:link w:val="Prrafodelista"/>
    <w:uiPriority w:val="34"/>
    <w:rsid w:val="006A2D70"/>
    <w:rPr>
      <w:rFonts w:ascii="Times New Roman" w:eastAsia="Times New Roman" w:hAnsi="Times New Roman" w:cs="Times New Roman"/>
      <w:sz w:val="24"/>
      <w:szCs w:val="24"/>
      <w:lang w:val="es-ES" w:eastAsia="es-ES" w:bidi="es-ES"/>
    </w:rPr>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n,footnote text"/>
    <w:basedOn w:val="Normal"/>
    <w:link w:val="TextonotapieCar"/>
    <w:qFormat/>
    <w:rsid w:val="006A2D70"/>
    <w:rPr>
      <w:sz w:val="20"/>
      <w:szCs w:val="20"/>
    </w:rPr>
  </w:style>
  <w:style w:type="character" w:customStyle="1" w:styleId="TextonotapieCar">
    <w:name w:val="Texto nota pie Car"/>
    <w:aliases w:val="Footnote Car,Footnote Text Char2 Char Car,Footnote Text Char Char1 Char1 Car,Footnote Text Char1 Char Char Char1 Car,Footnote Text Char Char Char Char Char Car,Footnote Text Char1 Char1 Char Car,Footnote Text Char Char Char1 Char Car"/>
    <w:basedOn w:val="Fuentedeprrafopredeter"/>
    <w:link w:val="Textonotapie"/>
    <w:rsid w:val="006A2D70"/>
    <w:rPr>
      <w:rFonts w:ascii="Times New Roman" w:eastAsia="Times New Roman" w:hAnsi="Times New Roman" w:cs="Times New Roman"/>
      <w:sz w:val="20"/>
      <w:szCs w:val="20"/>
      <w:lang w:val="es-ES" w:eastAsia="es-ES" w:bidi="es-ES"/>
    </w:rPr>
  </w:style>
  <w:style w:type="character" w:styleId="Nmerodepgina">
    <w:name w:val="page number"/>
    <w:basedOn w:val="Fuentedeprrafopredeter"/>
    <w:uiPriority w:val="99"/>
    <w:rsid w:val="006A2D70"/>
    <w:rPr>
      <w:rFonts w:cs="Times New Roman"/>
    </w:rPr>
  </w:style>
  <w:style w:type="paragraph" w:styleId="Encabezado">
    <w:name w:val="header"/>
    <w:basedOn w:val="Normal"/>
    <w:link w:val="EncabezadoCar"/>
    <w:uiPriority w:val="99"/>
    <w:rsid w:val="006A2D70"/>
    <w:pPr>
      <w:pBdr>
        <w:bottom w:val="single" w:sz="4" w:space="1" w:color="auto"/>
      </w:pBdr>
      <w:tabs>
        <w:tab w:val="right" w:pos="9000"/>
      </w:tabs>
      <w:ind w:right="73"/>
    </w:pPr>
    <w:rPr>
      <w:sz w:val="20"/>
      <w:szCs w:val="20"/>
    </w:rPr>
  </w:style>
  <w:style w:type="character" w:customStyle="1" w:styleId="EncabezadoCar">
    <w:name w:val="Encabezado Car"/>
    <w:basedOn w:val="Fuentedeprrafopredeter"/>
    <w:link w:val="Encabezado"/>
    <w:uiPriority w:val="99"/>
    <w:rsid w:val="006A2D70"/>
    <w:rPr>
      <w:rFonts w:ascii="Times New Roman" w:eastAsia="Times New Roman" w:hAnsi="Times New Roman" w:cs="Times New Roman"/>
      <w:sz w:val="20"/>
      <w:szCs w:val="20"/>
      <w:lang w:val="es-ES" w:eastAsia="es-ES" w:bidi="es-ES"/>
    </w:rPr>
  </w:style>
  <w:style w:type="character" w:styleId="Refdenotaalpie">
    <w:name w:val="footnote reference"/>
    <w:basedOn w:val="Fuentedeprrafopredeter"/>
    <w:rsid w:val="006A2D70"/>
    <w:rPr>
      <w:rFonts w:cs="Times New Roman"/>
      <w:vertAlign w:val="superscript"/>
    </w:rPr>
  </w:style>
  <w:style w:type="paragraph" w:styleId="Piedepgina">
    <w:name w:val="footer"/>
    <w:basedOn w:val="Normal"/>
    <w:link w:val="PiedepginaCar"/>
    <w:uiPriority w:val="99"/>
    <w:unhideWhenUsed/>
    <w:rsid w:val="006A2D70"/>
    <w:pPr>
      <w:tabs>
        <w:tab w:val="center" w:pos="4419"/>
        <w:tab w:val="right" w:pos="8838"/>
      </w:tabs>
    </w:pPr>
  </w:style>
  <w:style w:type="character" w:customStyle="1" w:styleId="PiedepginaCar">
    <w:name w:val="Pie de página Car"/>
    <w:basedOn w:val="Fuentedeprrafopredeter"/>
    <w:link w:val="Piedepgina"/>
    <w:uiPriority w:val="99"/>
    <w:rsid w:val="006A2D70"/>
    <w:rPr>
      <w:rFonts w:ascii="Times New Roman" w:eastAsia="Times New Roman" w:hAnsi="Times New Roman" w:cs="Times New Roman"/>
      <w:sz w:val="24"/>
      <w:szCs w:val="24"/>
      <w:lang w:val="es-ES" w:eastAsia="es-ES" w:bidi="es-ES"/>
    </w:rPr>
  </w:style>
  <w:style w:type="paragraph" w:customStyle="1" w:styleId="Default">
    <w:name w:val="Default"/>
    <w:rsid w:val="0019622D"/>
    <w:pPr>
      <w:autoSpaceDE w:val="0"/>
      <w:autoSpaceDN w:val="0"/>
      <w:adjustRightInd w:val="0"/>
      <w:spacing w:after="0" w:line="240" w:lineRule="auto"/>
    </w:pPr>
    <w:rPr>
      <w:rFonts w:ascii="Andes" w:hAnsi="Andes" w:cs="Ande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ac632f0-0a30-4f3b-832b-3b2db778a10b" xsi:nil="true"/>
    <lcf76f155ced4ddcb4097134ff3c332f xmlns="12ce5ced-eddb-497e-9cf3-da6c2b0c936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2F3B3AAC377D134591C9DA4423028FE4" ma:contentTypeVersion="18" ma:contentTypeDescription="Crear nuevo documento." ma:contentTypeScope="" ma:versionID="86db404f6a8183a7c74e49a596300d84">
  <xsd:schema xmlns:xsd="http://www.w3.org/2001/XMLSchema" xmlns:xs="http://www.w3.org/2001/XMLSchema" xmlns:p="http://schemas.microsoft.com/office/2006/metadata/properties" xmlns:ns2="12ce5ced-eddb-497e-9cf3-da6c2b0c9361" xmlns:ns3="f59abb42-7ee4-472f-a921-452c35d8b151" xmlns:ns4="1ac632f0-0a30-4f3b-832b-3b2db778a10b" targetNamespace="http://schemas.microsoft.com/office/2006/metadata/properties" ma:root="true" ma:fieldsID="e2170a1af4aa4990b3a0f5f72a051f49" ns2:_="" ns3:_="" ns4:_="">
    <xsd:import namespace="12ce5ced-eddb-497e-9cf3-da6c2b0c9361"/>
    <xsd:import namespace="f59abb42-7ee4-472f-a921-452c35d8b151"/>
    <xsd:import namespace="1ac632f0-0a30-4f3b-832b-3b2db778a1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AutoKeyPoints" minOccurs="0"/>
                <xsd:element ref="ns2:MediaServiceKeyPoints"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ce5ced-eddb-497e-9cf3-da6c2b0c93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2ea74cd5-a259-4470-951f-238a9c2455d6"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9abb42-7ee4-472f-a921-452c35d8b151"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c632f0-0a30-4f3b-832b-3b2db778a10b"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e04f2221-0fb8-4eef-8df9-d0a540b5b02b}" ma:internalName="TaxCatchAll" ma:showField="CatchAllData" ma:web="1ac632f0-0a30-4f3b-832b-3b2db778a1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24709C-36CC-4E6E-88AC-466EA2B00230}">
  <ds:schemaRefs>
    <ds:schemaRef ds:uri="http://schemas.microsoft.com/office/infopath/2007/PartnerControls"/>
    <ds:schemaRef ds:uri="http://schemas.microsoft.com/office/2006/documentManagement/types"/>
    <ds:schemaRef ds:uri="http://www.w3.org/XML/1998/namespace"/>
    <ds:schemaRef ds:uri="http://purl.org/dc/elements/1.1/"/>
    <ds:schemaRef ds:uri="http://purl.org/dc/terms/"/>
    <ds:schemaRef ds:uri="http://purl.org/dc/dcmitype/"/>
    <ds:schemaRef ds:uri="http://schemas.openxmlformats.org/package/2006/metadata/core-properties"/>
    <ds:schemaRef ds:uri="1ac632f0-0a30-4f3b-832b-3b2db778a10b"/>
    <ds:schemaRef ds:uri="f59abb42-7ee4-472f-a921-452c35d8b151"/>
    <ds:schemaRef ds:uri="12ce5ced-eddb-497e-9cf3-da6c2b0c9361"/>
    <ds:schemaRef ds:uri="http://schemas.microsoft.com/office/2006/metadata/properties"/>
  </ds:schemaRefs>
</ds:datastoreItem>
</file>

<file path=customXml/itemProps2.xml><?xml version="1.0" encoding="utf-8"?>
<ds:datastoreItem xmlns:ds="http://schemas.openxmlformats.org/officeDocument/2006/customXml" ds:itemID="{0931D808-E60B-4763-A39A-58DE4D767499}">
  <ds:schemaRefs>
    <ds:schemaRef ds:uri="http://schemas.microsoft.com/sharepoint/v3/contenttype/forms"/>
  </ds:schemaRefs>
</ds:datastoreItem>
</file>

<file path=customXml/itemProps3.xml><?xml version="1.0" encoding="utf-8"?>
<ds:datastoreItem xmlns:ds="http://schemas.openxmlformats.org/officeDocument/2006/customXml" ds:itemID="{653C32BA-DA37-4C00-A5BF-164F6A89CEA2}"/>
</file>

<file path=docProps/app.xml><?xml version="1.0" encoding="utf-8"?>
<Properties xmlns="http://schemas.openxmlformats.org/officeDocument/2006/extended-properties" xmlns:vt="http://schemas.openxmlformats.org/officeDocument/2006/docPropsVTypes">
  <Template>Normal</Template>
  <TotalTime>35</TotalTime>
  <Pages>2</Pages>
  <Words>758</Words>
  <Characters>4175</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Viviana Sanchez Quintero</dc:creator>
  <cp:keywords/>
  <dc:description/>
  <cp:lastModifiedBy>Viviana Sanchez Quintero</cp:lastModifiedBy>
  <cp:revision>13</cp:revision>
  <dcterms:created xsi:type="dcterms:W3CDTF">2020-08-20T23:02:00Z</dcterms:created>
  <dcterms:modified xsi:type="dcterms:W3CDTF">2025-03-26T22:34:00Z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0x0101002F3B3AAC377D134591C9DA4423028FE4</vt:lpwstr>
  </property>
  <property fmtid="{D5CDD505-2E9C-101B-9397-08002B2CF9AE}" pid="3" name="MediaServiceImageTags">
    <vt:lpwstr/>
  </property>
</Properties>
</file>